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38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32475" cy="8243570"/>
            <wp:effectExtent l="0" t="0" r="15875" b="508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32475" cy="824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42000" cy="8257540"/>
            <wp:effectExtent l="0" t="0" r="6350" b="1016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825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98515" cy="8337550"/>
            <wp:effectExtent l="0" t="0" r="6985" b="635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8515" cy="833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before="159" w:beforeLines="50" w:after="319" w:afterLines="100" w:line="52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中央电化教育馆人工智能教育实验校（中学阶段）省级推荐表</w:t>
      </w:r>
    </w:p>
    <w:p>
      <w:pPr>
        <w:spacing w:after="159" w:afterLines="50" w:line="520" w:lineRule="exact"/>
        <w:ind w:firstLine="840" w:firstLineChars="3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2019年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日                                                      （省级电教部门公章）</w:t>
      </w:r>
    </w:p>
    <w:tbl>
      <w:tblPr>
        <w:tblStyle w:val="3"/>
        <w:tblW w:w="14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938"/>
        <w:gridCol w:w="2345"/>
        <w:gridCol w:w="4234"/>
        <w:gridCol w:w="1393"/>
        <w:gridCol w:w="1615"/>
        <w:gridCol w:w="2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vMerge w:val="restart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8517" w:type="dxa"/>
            <w:gridSpan w:val="3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学校信息</w:t>
            </w:r>
          </w:p>
        </w:tc>
        <w:tc>
          <w:tcPr>
            <w:tcW w:w="5364" w:type="dxa"/>
            <w:gridSpan w:val="3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试用课程版本</w:t>
            </w:r>
            <w:r>
              <w:rPr>
                <w:rFonts w:hint="eastAsia" w:ascii="宋体" w:hAnsi="宋体" w:cs="宋体"/>
                <w:szCs w:val="21"/>
              </w:rPr>
              <w:t>(初中版/高中版)</w:t>
            </w: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学校名称</w:t>
            </w: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地址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联系人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手机号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234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6" w:type="dxa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ind w:left="0" w:leftChars="0" w:firstLine="0" w:firstLineChars="0"/>
        <w:rPr>
          <w:rFonts w:hint="eastAsia" w:eastAsiaTheme="minorEastAsia"/>
          <w:lang w:eastAsia="zh-CN"/>
        </w:rPr>
        <w:sectPr>
          <w:pgSz w:w="16838" w:h="11906" w:orient="landscape"/>
          <w:pgMar w:top="13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中央电化教育馆人工智能教育实验校</w:t>
      </w:r>
    </w:p>
    <w:p>
      <w:pPr>
        <w:snapToGrid w:val="0"/>
        <w:jc w:val="center"/>
        <w:rPr>
          <w:rFonts w:hint="eastAsia" w:ascii="楷体_GB2312" w:hAnsi="楷体_GB2312" w:eastAsia="楷体_GB2312" w:cs="楷体_GB2312"/>
          <w:b/>
          <w:bCs/>
          <w:sz w:val="36"/>
          <w:szCs w:val="36"/>
        </w:r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（中学阶段）</w:t>
      </w:r>
    </w:p>
    <w:p>
      <w:pPr>
        <w:snapToGrid w:val="0"/>
        <w:spacing w:before="159" w:beforeLines="50"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 报 书</w:t>
      </w:r>
    </w:p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>
      <w:pPr>
        <w:snapToGrid w:val="0"/>
        <w:spacing w:line="360" w:lineRule="auto"/>
        <w:ind w:firstLine="1257" w:firstLineChars="393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>申报学校（公章）：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</w:t>
      </w:r>
    </w:p>
    <w:p>
      <w:pPr>
        <w:snapToGrid w:val="0"/>
        <w:spacing w:line="360" w:lineRule="auto"/>
        <w:ind w:firstLine="1257" w:firstLineChars="393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学校地址：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</w:t>
      </w:r>
    </w:p>
    <w:p>
      <w:pPr>
        <w:snapToGrid w:val="0"/>
        <w:spacing w:line="360" w:lineRule="auto"/>
        <w:ind w:firstLine="1257" w:firstLineChars="393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联 系 人：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</w:t>
      </w:r>
    </w:p>
    <w:p>
      <w:pPr>
        <w:snapToGrid w:val="0"/>
        <w:spacing w:line="360" w:lineRule="auto"/>
        <w:ind w:firstLine="1257" w:firstLineChars="393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手 机 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</w:t>
      </w:r>
    </w:p>
    <w:p>
      <w:pPr>
        <w:snapToGrid w:val="0"/>
        <w:spacing w:line="360" w:lineRule="auto"/>
        <w:ind w:firstLine="1257" w:firstLineChars="393"/>
        <w:rPr>
          <w:rFonts w:hint="eastAsia"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>E - mail：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</w:t>
      </w:r>
    </w:p>
    <w:p>
      <w:pPr>
        <w:snapToGrid w:val="0"/>
        <w:spacing w:line="360" w:lineRule="auto"/>
        <w:ind w:firstLine="1257" w:firstLineChars="393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填报日期：2019年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日</w:t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page"/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基本信息表</w:t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sz w:val="30"/>
          <w:szCs w:val="30"/>
        </w:rPr>
      </w:pPr>
    </w:p>
    <w:tbl>
      <w:tblPr>
        <w:tblStyle w:val="3"/>
        <w:tblW w:w="8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1467"/>
        <w:gridCol w:w="1946"/>
        <w:gridCol w:w="1596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restart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学校信息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学校名称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学段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通讯地址</w:t>
            </w:r>
          </w:p>
        </w:tc>
        <w:tc>
          <w:tcPr>
            <w:tcW w:w="5640" w:type="dxa"/>
            <w:gridSpan w:val="3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年级数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学生数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校长信息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restart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联系人信息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8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办公电话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电子信箱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restart"/>
            <w:noWrap w:val="0"/>
            <w:vAlign w:val="center"/>
          </w:tcPr>
          <w:p>
            <w:pPr>
              <w:snapToGrid w:val="0"/>
              <w:spacing w:line="52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人工智能课程开设计划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拟试用课程版本（初中版/高中版）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起止时间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授课周数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每周课时数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Merge w:val="continue"/>
            <w:noWrap w:val="0"/>
            <w:vAlign w:val="center"/>
          </w:tcPr>
          <w:p>
            <w:pPr>
              <w:snapToGrid w:val="0"/>
              <w:spacing w:line="520" w:lineRule="exact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授课教师数</w:t>
            </w:r>
          </w:p>
        </w:tc>
        <w:tc>
          <w:tcPr>
            <w:tcW w:w="194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上课学生数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5" w:type="dxa"/>
            <w:gridSpan w:val="5"/>
            <w:noWrap w:val="0"/>
            <w:vAlign w:val="center"/>
          </w:tcPr>
          <w:p>
            <w:pPr>
              <w:snapToGrid w:val="0"/>
              <w:spacing w:line="5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学校意见（是否同意申报）：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napToGrid w:val="0"/>
              <w:spacing w:line="52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校长签字：</w:t>
            </w:r>
          </w:p>
          <w:p>
            <w:pPr>
              <w:snapToGrid w:val="0"/>
              <w:spacing w:line="5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napToGrid w:val="0"/>
        <w:spacing w:line="520" w:lineRule="exact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page"/>
      </w:r>
    </w:p>
    <w:p>
      <w:pPr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内容框架及撰写要求</w:t>
      </w:r>
    </w:p>
    <w:p>
      <w:pPr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numPr>
          <w:ilvl w:val="0"/>
          <w:numId w:val="1"/>
        </w:numPr>
        <w:snapToGrid w:val="0"/>
        <w:spacing w:line="5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学校已具备的软硬件环境情况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请参照附件3（申报实验校必备的软硬件支撑环境）逐项如实描述。若缺项或表述不清晰将影响入选。</w:t>
      </w:r>
    </w:p>
    <w:p>
      <w:pPr>
        <w:numPr>
          <w:ilvl w:val="0"/>
          <w:numId w:val="1"/>
        </w:numPr>
        <w:snapToGrid w:val="0"/>
        <w:spacing w:line="5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人工智能课程开设计划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二级标题自拟。内容要点如下：</w:t>
      </w:r>
    </w:p>
    <w:p>
      <w:pPr>
        <w:numPr>
          <w:ilvl w:val="0"/>
          <w:numId w:val="2"/>
        </w:numPr>
        <w:snapToGrid w:val="0"/>
        <w:spacing w:line="520" w:lineRule="exact"/>
        <w:ind w:lef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拟试用央馆人工智能课程的版本（初中版\高中版）。</w:t>
      </w:r>
    </w:p>
    <w:p>
      <w:pPr>
        <w:numPr>
          <w:ilvl w:val="0"/>
          <w:numId w:val="2"/>
        </w:numPr>
        <w:snapToGrid w:val="0"/>
        <w:spacing w:line="520" w:lineRule="exact"/>
        <w:ind w:lef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课计划：起止时间（至少细化到月），课时总数，授课几周？每周课时安排（每周几节？安排在何时？）。课程开设可结合学校相关已开设课程计划，并刨去教师培训、学校活动、考试周等不便安排的时间段。原则上授课总数应不少于12个课时。</w:t>
      </w:r>
    </w:p>
    <w:p>
      <w:pPr>
        <w:numPr>
          <w:ilvl w:val="0"/>
          <w:numId w:val="2"/>
        </w:numPr>
        <w:snapToGrid w:val="0"/>
        <w:spacing w:line="520" w:lineRule="exact"/>
        <w:ind w:lef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授课教师情况：人数，每人的详细信息（原授课学科、年龄、学历、专业背景、参与相关培训情况等）。</w:t>
      </w:r>
    </w:p>
    <w:p>
      <w:pPr>
        <w:numPr>
          <w:ilvl w:val="0"/>
          <w:numId w:val="2"/>
        </w:numPr>
        <w:snapToGrid w:val="0"/>
        <w:spacing w:line="520" w:lineRule="exact"/>
        <w:ind w:lef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授课对象情况：人数、来源、信息技术素养基础、分批上课安排等。</w:t>
      </w:r>
    </w:p>
    <w:p>
      <w:pPr>
        <w:adjustRightInd w:val="0"/>
        <w:snapToGrid w:val="0"/>
        <w:spacing w:line="52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517" w:bottom="1440" w:left="1803" w:header="851" w:footer="992" w:gutter="0"/>
          <w:pgNumType w:fmt="numberInDash" w:start="1"/>
          <w:cols w:space="720" w:num="1"/>
          <w:titlePg/>
          <w:docGrid w:type="lines" w:linePitch="319" w:charSpace="0"/>
        </w:sectPr>
      </w:pPr>
    </w:p>
    <w:p>
      <w:pPr>
        <w:adjustRightInd w:val="0"/>
        <w:snapToGrid w:val="0"/>
        <w:spacing w:line="52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附件3：</w:t>
      </w:r>
    </w:p>
    <w:p>
      <w:pPr>
        <w:adjustRightInd w:val="0"/>
        <w:snapToGrid w:val="0"/>
        <w:spacing w:line="520" w:lineRule="exact"/>
        <w:jc w:val="center"/>
        <w:outlineLvl w:val="0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申报实验校必备的软硬件支撑环境</w:t>
      </w:r>
    </w:p>
    <w:p>
      <w:pPr>
        <w:adjustRightInd w:val="0"/>
        <w:snapToGrid w:val="0"/>
        <w:spacing w:line="520" w:lineRule="exact"/>
        <w:jc w:val="center"/>
        <w:outlineLvl w:val="0"/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（以每班</w:t>
      </w:r>
      <w:r>
        <w:rPr>
          <w:rFonts w:ascii="楷体_GB2312" w:hAnsi="楷体_GB2312" w:eastAsia="楷体_GB2312" w:cs="楷体_GB2312"/>
          <w:b/>
          <w:bCs/>
          <w:sz w:val="28"/>
          <w:szCs w:val="28"/>
        </w:rPr>
        <w:t>25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人为例）</w:t>
      </w:r>
    </w:p>
    <w:p>
      <w:pPr>
        <w:numPr>
          <w:ilvl w:val="0"/>
          <w:numId w:val="3"/>
        </w:numPr>
        <w:adjustRightInd w:val="0"/>
        <w:snapToGrid w:val="0"/>
        <w:spacing w:before="159" w:beforeLines="50" w:after="159" w:afterLines="50" w:line="520" w:lineRule="exact"/>
        <w:ind w:firstLine="641"/>
        <w:jc w:val="left"/>
        <w:outlineLvl w:val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硬件环境支撑</w:t>
      </w:r>
    </w:p>
    <w:tbl>
      <w:tblPr>
        <w:tblStyle w:val="3"/>
        <w:tblW w:w="110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116"/>
        <w:gridCol w:w="7353"/>
        <w:gridCol w:w="513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功能和要求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21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教学区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通用装备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无线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P设备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支持教学活动的无线网络、计算等功能，同时支持1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00路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终端接入，可完成移动设备屏幕无线投射至大屏幕（投影仪或一体机）。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IOT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智能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中控系统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1.支持投影机、新风、背景音乐、视频源、灯光、智能家居等A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IOT网关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集中控制；支持自动控制；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2.具有控制子网络；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.支持空调、窗帘、灯光等室内设备语音控制，支持教学环境的场景化定制。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一体机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1.超薄超窄外观，前置按键，前置USB 端口，模块化安全设计；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2.流畅触控技术，通过国家EMC环保测试；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.显示、触控、智能核心、PC一体融合；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.双系统设计。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21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人工智能专用教学装备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教学/助教机器人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外观要求：类人型的机器人组件，无需拼接组装；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材料：ABS塑料、硬纸等轻质安全环保材料；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传感器：包括测距传感器、加速度传感器、陀螺仪、触摸传感器；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交互设备：包括摄像头、麦克风、扬声器、显示屏等，可编程控制。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26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教学平板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pacing w:val="-20"/>
                <w:kern w:val="0"/>
                <w:szCs w:val="21"/>
              </w:rPr>
              <w:t>（教师端</w:t>
            </w:r>
            <w:r>
              <w:rPr>
                <w:rFonts w:ascii="宋体" w:hAnsi="宋体" w:cs="宋体"/>
                <w:bCs/>
                <w:color w:val="000000"/>
                <w:spacing w:val="-20"/>
                <w:kern w:val="0"/>
                <w:szCs w:val="21"/>
              </w:rPr>
              <w:t>）</w:t>
            </w:r>
          </w:p>
        </w:tc>
        <w:tc>
          <w:tcPr>
            <w:tcW w:w="735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操作系统包括安卓系统,存储容量不少于32GB,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8核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处理器,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3GB以上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运行内存,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32GB存储空间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，具有陀螺仪、导航、手写、多点触控、指纹识别、投屏等功能。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教学平板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pacing w:val="-20"/>
                <w:kern w:val="0"/>
                <w:szCs w:val="21"/>
              </w:rPr>
              <w:t>（学生端）</w:t>
            </w:r>
          </w:p>
        </w:tc>
        <w:tc>
          <w:tcPr>
            <w:tcW w:w="735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基础实践项目教学套件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1.电子组件：包括AI能力开发板、Arduino驱动板、高清摄像头、线性麦克风阵列、各种传感器（&gt;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10种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）、编码电机、充电电池等；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2.拼接结构组件:丰富多彩、精美耐用的环保塑料拼接结构件；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3.通过国家标准安规认证,通过音视频类产品的3C认证,无委核准SRRC认证，符合国家EMC和ESD标准。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进阶实践项目教学套件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1.电子组件：包括AI能力开发板、Arduino驱动板、高清摄像头、线性麦克风阵列、各种传感器（&gt;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10种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）、直流/编码电机、充电电池等；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2.拼接结构组件:丰富多彩、科技时尚的环保铝合金拼接结构件；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3.通过国家标准安规认证,通过音视频类产品的3C认证,无委核准SRRC认证，符合国家EMC和ESD标准。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AI能力开发板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实现AI能力开发板和开源硬件驱动板、各种传感器控制和编程的工具系统；包括:A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I图形化编程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，P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ython编程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电路仿真模拟搭建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，语音合成、人脸识别、图像识别、AI训练平台等诸多AI能力，帮助学生走进人工智能编程世界。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--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AI超算服务器</w:t>
            </w:r>
          </w:p>
        </w:tc>
        <w:tc>
          <w:tcPr>
            <w:tcW w:w="735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1.采用X86平台，基于高性能GPU板块，应用于视频编解码、人工智能深度学习、大数据、科学计算等多种场景的快速、稳定、弹性的计算服务；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</w:t>
            </w:r>
            <w:r>
              <w:rPr>
                <w:rFonts w:ascii="Helvetica" w:hAnsi="Helvetica"/>
                <w:color w:val="444444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优秀的服务器空间设计，具有低噪音、低能耗、易维护性的特点，构建稳定的超算工作平台。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</w:p>
        </w:tc>
      </w:tr>
    </w:tbl>
    <w:p>
      <w:pPr>
        <w:numPr>
          <w:ilvl w:val="0"/>
          <w:numId w:val="3"/>
        </w:numPr>
        <w:adjustRightInd w:val="0"/>
        <w:snapToGrid w:val="0"/>
        <w:spacing w:before="159" w:beforeLines="50" w:after="159" w:afterLines="50" w:line="520" w:lineRule="exact"/>
        <w:ind w:firstLine="641"/>
        <w:jc w:val="left"/>
        <w:outlineLvl w:val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软件环境支撑</w:t>
      </w:r>
    </w:p>
    <w:tbl>
      <w:tblPr>
        <w:tblStyle w:val="3"/>
        <w:tblW w:w="108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1154"/>
        <w:gridCol w:w="91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功能和要求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5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教学类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教学平板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（教师端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 教师操控界面：以授课为主，提供人工智能授课系统、自由编程系统、成果管理系统；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2. 人工智能授课系统：系统化的课程资源体系，支持教师一键获取授课资源；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智能教具操控：自主教具扫描，一键自动连接，AI能力赋能（语音识别、人脸识别等）；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4. 人工智能自由编程系统：提供图形化、拖拽式及Python编程工具，向智能教具赋能；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5.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丰富的AI技能：支持语音识别、语音合成、语音评测、文字识别、人脸识别、物体识别等；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6. 成果管理系统。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5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教学平板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（学生端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1. 学生操控界面：学生以学为主，提供自由编程系统、成果管理系统；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2. 人工智能授课系统：系统化的课程资源体系，支持教师一键获取授课资源；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智能教具操控：自主教具扫描，一键自动连接，AI能力赋能（语音识别、人脸识别等）；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4. 人工智能自由编程系统：提供图形化、拖拽式及Python编程工具，向智能教具赋能；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5.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丰富的AI技能：支持语音识别、语音合成、语音评测、文字识别、人脸识别、物体识别等；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6. 成果管理系统。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实验类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感知实验软件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覆盖各学段的感知体验实验，以MG动画视频形式展示人工智能各知识点，内容包括：人工智能发展背景、人工智能核心技术、智能语音、智能图像、自然语言处理。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5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验证实验软件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覆盖各学段的原理验证实验，以可视化交互形式展示，内容包括：基础理论、智能语音、智能图像、自然语音处理、计算机博弈-强化学习。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5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探究实验软件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覆盖各学段的项目探究创新实验，以AI技能应用+开源硬件搭建实现，内容包括：小学（声控台灯、自动投石器、智能门闸、智能交通灯、植物运输车、景区疏导机器人）；初中（温湿度计、汽车刮雨器、朗诵机器人、智能音箱、锄草浇水车、模拟翻译机）；高中（动物声音识别器、智能垃圾桶、景区疏导机器人、模拟翻译机、六足仿生昆虫、家庭医疗助手、家庭安防系统、自动驾驶小车。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智能教具类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教学/助教机器人软件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 提供丰富的机器人表情界面，分别对应不同机器人状态；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 支持通过WiFi与平板教学软件进行连接，支持师生的自由切换，保证课堂教学的稳定和连续；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. 支持接收已关联的平板教学软件上传的编程文件，并能依据编程结果立即执行。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AI算法训练类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AI超算服务器软件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提供师生进行简单人工智能算法模型训练的系统，让学生实践训练/测试数据集的收集、特征提取、模型训练、模型测试等整个人工智能模型训练步骤，打造“超算中心+算法构建+自主训练”的综合解决方案，训练包括：语音、图像、文本、自动驾驶、人机对话等算法应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52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通用设备类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IOT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智能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中控软件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通过浏览器Web页面可对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声、光、电等各种设备进行集中控制和运行状态管理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并可编程进行自动控制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.可通过语音识别算法对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空调、窗帘、灯光等室内设备进行语音交互控制。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  <w:jc w:val="center"/>
        </w:trPr>
        <w:tc>
          <w:tcPr>
            <w:tcW w:w="5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无线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P软件</w:t>
            </w:r>
          </w:p>
        </w:tc>
        <w:tc>
          <w:tcPr>
            <w:tcW w:w="9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1.同步投屏：实现主流的安卓智能设备跨平台投射；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2.屏幕自愈：支持投屏自愈功能，实现因为网络故障导致投屏问题可在网络恢复后自动恢复投屏；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3.网络环境:支持以教室为单元的高密度无线环境快速部署，兼容有线网络、无线网络；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.网络搭载量：实现教室内多个用户终端无线接入，实现200K文件在最多可支持60个用户同时批量下载或批量上传不超过3秒，丢包率不超过3%；支持管控教室网络的互联网接入。</w:t>
            </w:r>
          </w:p>
        </w:tc>
      </w:tr>
    </w:tbl>
    <w:p>
      <w:pPr>
        <w:ind w:left="0" w:leftChars="0" w:firstLine="0" w:firstLineChars="0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F5ADDF"/>
    <w:multiLevelType w:val="singleLevel"/>
    <w:tmpl w:val="C0F5AD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4A3E0EB"/>
    <w:multiLevelType w:val="singleLevel"/>
    <w:tmpl w:val="C4A3E0EB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F1F03157"/>
    <w:multiLevelType w:val="singleLevel"/>
    <w:tmpl w:val="F1F03157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90BAF"/>
    <w:rsid w:val="6179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2019-08-12T08:43:00Z</dcterms:created>
  <dc:creator>THTF</dc:creator>
  <cp:lastModifiedBy>THTF</cp:lastModifiedBy>
  <dcterms:modified xsi:type="dcterms:W3CDTF">2019-08-12T08:48:08Z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